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附件1</w:t>
      </w:r>
      <w:r>
        <w:rPr>
          <w:rFonts w:eastAsia="黑体"/>
          <w:sz w:val="30"/>
          <w:szCs w:val="30"/>
        </w:rPr>
        <w:t xml:space="preserve">               </w:t>
      </w:r>
    </w:p>
    <w:p>
      <w:pPr>
        <w:autoSpaceDE w:val="0"/>
        <w:autoSpaceDN w:val="0"/>
        <w:spacing w:afterLines="100"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重庆年会参会人员</w:t>
      </w: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</w:rPr>
        <w:t>回执表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136"/>
        <w:gridCol w:w="1428"/>
        <w:gridCol w:w="575"/>
        <w:gridCol w:w="225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1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真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会议代表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房间预订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□是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  型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间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普标368元/间/天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普单368元/间/天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行政标间528元/间/天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行政单间528元/间/天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   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□（A）</w:t>
            </w:r>
          </w:p>
        </w:tc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烧结墙材制品高端生产线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□（B）</w:t>
            </w:r>
          </w:p>
        </w:tc>
        <w:tc>
          <w:tcPr>
            <w:tcW w:w="5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蒸压加气混凝土板材生产线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注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如未按期反馈回执表，会务组将不保证宾馆优惠房价。请务必填报参观路线。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注：请填妥后传真或E-mail至会务组（传真：010-68583392）。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D1241"/>
    <w:rsid w:val="06D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2019-03-22T03:07:00Z</dcterms:created>
  <dc:creator>兰静</dc:creator>
  <cp:lastModifiedBy>兰静</cp:lastModifiedBy>
  <dcterms:modified xsi:type="dcterms:W3CDTF">2019-03-22T03:07:58Z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