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32" w:lineRule="auto"/>
        <w:jc w:val="left"/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   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center"/>
      </w:pPr>
      <w:bookmarkStart w:id="0" w:name="OLE_LINK1"/>
      <w:bookmarkStart w:id="1" w:name="_GoBack"/>
      <w:r>
        <w:rPr>
          <w:rStyle w:val="4"/>
          <w:rFonts w:hint="eastAsia" w:ascii="宋体" w:hAnsi="宋体" w:eastAsia="宋体" w:cs="宋体"/>
          <w:sz w:val="24"/>
          <w:szCs w:val="24"/>
        </w:rPr>
        <w:t>资源税税目税率幅度表</w:t>
      </w:r>
      <w:bookmarkEnd w:id="0"/>
      <w:bookmarkEnd w:id="1"/>
    </w:p>
    <w:tbl>
      <w:tblPr>
        <w:tblW w:w="903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215"/>
        <w:gridCol w:w="2325"/>
        <w:gridCol w:w="1995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序号</w:t>
            </w:r>
          </w:p>
        </w:tc>
        <w:tc>
          <w:tcPr>
            <w:tcW w:w="35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税目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征税对象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税率幅度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</w:t>
            </w:r>
          </w:p>
        </w:tc>
        <w:tc>
          <w:tcPr>
            <w:tcW w:w="121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金属矿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铁矿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金矿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金锭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1%-4%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3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铜矿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2%-8%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4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铝土矿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原矿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3%-9%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5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铅锌矿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6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镍矿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7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锡矿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8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未列举名称的其他金属矿产品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原矿或精矿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税率不超过20%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9</w:t>
            </w:r>
          </w:p>
        </w:tc>
        <w:tc>
          <w:tcPr>
            <w:tcW w:w="121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非金属矿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石墨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3%-10%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10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硅藻土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11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高岭土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原矿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12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萤石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13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石灰石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原矿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14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硫铁矿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15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磷矿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原矿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3%-8%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16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氯化钾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3%-8%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17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硫酸钾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6%-12%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18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井矿盐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氯化钠初级产品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19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湖盐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氯化钠初级产品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1%-6%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20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提取地下卤水晒制的盐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氯化钠初级产品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3%-15%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21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煤层（成）气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原矿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22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粘土、砂石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原矿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每吨或立方米0.1元-5元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23</w:t>
            </w: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未列举名称的其他非金属矿产品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原矿或精矿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从量税率每吨或立方米不超过30元；从价税率不超过20%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24</w:t>
            </w:r>
          </w:p>
        </w:tc>
        <w:tc>
          <w:tcPr>
            <w:tcW w:w="35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海盐</w:t>
            </w:r>
          </w:p>
        </w:tc>
        <w:tc>
          <w:tcPr>
            <w:tcW w:w="19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氯化钠初级产品</w:t>
            </w:r>
          </w:p>
        </w:tc>
        <w:tc>
          <w:tcPr>
            <w:tcW w:w="26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1%-5%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2" w:lineRule="auto"/>
        <w:jc w:val="both"/>
      </w:pPr>
      <w:r>
        <w:rPr>
          <w:rFonts w:hint="eastAsia" w:ascii="宋体" w:hAnsi="宋体" w:eastAsia="宋体" w:cs="宋体"/>
          <w:sz w:val="24"/>
          <w:szCs w:val="24"/>
        </w:rPr>
        <w:t>　　备注：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both"/>
      </w:pPr>
      <w:r>
        <w:rPr>
          <w:rFonts w:hint="eastAsia" w:ascii="宋体" w:hAnsi="宋体" w:eastAsia="宋体" w:cs="宋体"/>
          <w:sz w:val="24"/>
          <w:szCs w:val="24"/>
        </w:rPr>
        <w:t>　　1.铝土矿包括耐火级矾土、研磨级矾土等高铝粘土。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both"/>
      </w:pPr>
      <w:r>
        <w:rPr>
          <w:rFonts w:hint="eastAsia" w:ascii="宋体" w:hAnsi="宋体" w:eastAsia="宋体" w:cs="宋体"/>
          <w:sz w:val="24"/>
          <w:szCs w:val="24"/>
        </w:rPr>
        <w:t>　　2.氯化钠初级产品是指井矿盐、湖盐原盐、提取地下卤水晒制的盐和海盐原盐，包括固体和液体形态的初级产品。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both"/>
      </w:pPr>
      <w:r>
        <w:rPr>
          <w:rFonts w:hint="eastAsia" w:ascii="宋体" w:hAnsi="宋体" w:eastAsia="宋体" w:cs="宋体"/>
          <w:sz w:val="24"/>
          <w:szCs w:val="24"/>
        </w:rPr>
        <w:t>　　3.海盐是指海水晒制的盐，不包括提取地下卤水晒制的盐。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64D98"/>
    <w:rsid w:val="62264E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2016-06-12T01:02:04Z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